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72F3EF" wp14:editId="6105103B">
            <wp:simplePos x="0" y="0"/>
            <wp:positionH relativeFrom="column">
              <wp:posOffset>2177447</wp:posOffset>
            </wp:positionH>
            <wp:positionV relativeFrom="paragraph">
              <wp:posOffset>-1236511</wp:posOffset>
            </wp:positionV>
            <wp:extent cx="1705371" cy="6096017"/>
            <wp:effectExtent l="0" t="4762" r="4762" b="4763"/>
            <wp:wrapNone/>
            <wp:docPr id="1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705371" cy="60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2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средняя общеобразовательная школа с. Киселевка</w:t>
      </w: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Ульчского муниципального района Хабаровского края</w:t>
      </w: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20" w:rsidRPr="00612C20" w:rsidRDefault="00612C20" w:rsidP="00612C20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A93" w:rsidRDefault="009C3A93" w:rsidP="00612C2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612C20" w:rsidRPr="00612C20" w:rsidRDefault="00612C20" w:rsidP="00612C2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12C20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математике</w:t>
      </w:r>
    </w:p>
    <w:p w:rsidR="00612C20" w:rsidRPr="00612C20" w:rsidRDefault="00612C20" w:rsidP="00612C2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12C20" w:rsidRPr="00612C20" w:rsidRDefault="00612C20" w:rsidP="006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61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1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адаптированной основной общеобразовательной программе</w:t>
      </w:r>
    </w:p>
    <w:p w:rsidR="00612C20" w:rsidRPr="00612C20" w:rsidRDefault="00612C20" w:rsidP="006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ограниченными возможностями здоровья (обучающихся с умственной отсталостью)</w:t>
      </w:r>
    </w:p>
    <w:p w:rsidR="00612C20" w:rsidRPr="00612C20" w:rsidRDefault="00612C20" w:rsidP="006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2020– 2025 годы</w:t>
      </w: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612C20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2C20" w:rsidRP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2C20" w:rsidRPr="00612C20" w:rsidRDefault="00612C20" w:rsidP="00612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Составитель программы:</w:t>
      </w: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учитель </w:t>
      </w:r>
      <w:r w:rsidR="00E54A8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математики</w:t>
      </w: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СОШ с. Киселёвка</w:t>
      </w:r>
    </w:p>
    <w:p w:rsidR="00612C20" w:rsidRPr="00612C20" w:rsidRDefault="00612C20" w:rsidP="006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Козлова Ирина Георгиевна</w:t>
      </w:r>
    </w:p>
    <w:p w:rsidR="00612C20" w:rsidRDefault="00612C20" w:rsidP="00612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4A83" w:rsidRPr="00612C20" w:rsidRDefault="00E54A83" w:rsidP="00612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9C3A93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Киселёвка </w:t>
      </w:r>
    </w:p>
    <w:p w:rsidR="00612C20" w:rsidRPr="00612C20" w:rsidRDefault="00612C20" w:rsidP="00612C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2C2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2020 г.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МАТЕМАТИКА</w:t>
      </w:r>
    </w:p>
    <w:p w:rsidR="00612C20" w:rsidRDefault="00612C20" w:rsidP="00612C20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Пояснительная записка</w:t>
      </w:r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 «Математика» для обучающихся с ОВЗ </w:t>
      </w:r>
      <w:r w:rsidR="00F432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32BF" w:rsidRPr="00F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умственной отсталостью</w:t>
      </w:r>
      <w:r w:rsidR="00F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 для обучения этой категории обучающихся с учетом особенностей их</w:t>
      </w:r>
      <w:r w:rsidR="00F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развития, индивидуальных возможностей, обеспечивающая коррекцию</w:t>
      </w:r>
      <w:r w:rsidR="00F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развития и социальную адаптацию.</w:t>
      </w:r>
      <w:proofErr w:type="gramEnd"/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«Математика» составлена </w:t>
      </w: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нормативно – правовых документов:</w:t>
      </w:r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РФ от 29.12.2012 года № 273-ФЗ «Об образовании в Российской Федерации»; </w:t>
      </w:r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1599); </w:t>
      </w:r>
      <w:proofErr w:type="gramEnd"/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Примерная адаптированная основная общеобразовательная программа образования </w:t>
      </w: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года  № 4/15).</w:t>
      </w:r>
    </w:p>
    <w:p w:rsidR="00612C20" w:rsidRPr="00612C20" w:rsidRDefault="00612C20" w:rsidP="00F432B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</w:t>
      </w:r>
    </w:p>
    <w:p w:rsidR="00612C20" w:rsidRP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МБОУ СОШ </w:t>
      </w:r>
      <w:proofErr w:type="spell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иселёвка</w:t>
      </w:r>
      <w:proofErr w:type="spellEnd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32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2C20" w:rsidRDefault="00612C20" w:rsidP="00612C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</w:t>
      </w:r>
      <w:proofErr w:type="gramStart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6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19993).</w:t>
      </w:r>
    </w:p>
    <w:p w:rsidR="00612C20" w:rsidRPr="00612C20" w:rsidRDefault="00612C20" w:rsidP="00612C20">
      <w:pPr>
        <w:suppressAutoHyphens/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 «Математика»</w:t>
      </w:r>
    </w:p>
    <w:p w:rsidR="00612C20" w:rsidRPr="00612C20" w:rsidRDefault="00612C20" w:rsidP="00612C20">
      <w:pPr>
        <w:suppressAutoHyphens/>
        <w:spacing w:before="120"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Курс математики в старших классах является логическим продолжением изучения этого предмета в дополнительном первом (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I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1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 классе и 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I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IV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классах. Распределение учебного материала, так же как и на предыдущем этапе, осуществляются концентрически, что позволяет 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процессе обучения математике в 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IX</w:t>
      </w: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классах решаются следующие задачи: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― Коррекция недостатков познавательной деятельности и повышение уровня общего развития;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― Воспитание положительных качеств и свойств личности.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Нумерация.</w:t>
      </w: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Чтение и запись чисел от 0 до 1 000 000. Классы и разряды. Представление многозначных чисел в виде суммы разрядных слагаемых.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Сравнение и упорядочение многозначных чисел.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Единицы измерения и их соотношения. 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Величины (стоимость, длина, масса, емкость, время, площадь, объем) и единицы их измерения.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Единицы измерения стоимости: копейка (1 к.), рубль (1 р.). 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Единицы измерения длины: миллиметр (1 мм), сантиметр (1 см), дециметр (1 </w:t>
      </w:r>
      <w:proofErr w:type="spell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дм</w:t>
      </w:r>
      <w:proofErr w:type="spell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), метр (1 м), километр (1 км).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Единицы измерения массы: грамм (1 г), килограмм (1 кг), центнер (1 ц),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сут</w:t>
      </w:r>
      <w:proofErr w:type="spell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.), неделя (1нед.), месяц (1 мес.), год (1 год), век (1 в.)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.Е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диницы измерения площади: квадратный миллиметр (1 кв. мм), квадратный сантиметр (1 кв. см), квадратный дециметр (1 кв. </w:t>
      </w:r>
      <w:proofErr w:type="spell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дм</w:t>
      </w:r>
      <w:proofErr w:type="spell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), квадратный метр (1 кв. м), квадратный километр (1 кв. км).Единицы измерения объема: кубический миллиметр (1 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куб. мм), кубический сантиметр (1 куб. см), кубический дециметр (1 куб. </w:t>
      </w:r>
      <w:proofErr w:type="spell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дм</w:t>
      </w:r>
      <w:proofErr w:type="spell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), кубический метр (1 куб. м), кубический километр (1 куб. км).</w:t>
      </w:r>
      <w:proofErr w:type="gramEnd"/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Соотношения между единицами измерения однородных величин. Сравнение и упорядочение однородных величин.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Преобразования чисел, полученных при измерении стоимости, длины, массы.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Запись чисел, полученных при измерении длины, стоимости, массы, в виде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десятичной дроби и обратное преобразование.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Арифметические действия.</w:t>
      </w: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Сложение, вычитание, умножение и деление. Названия компонентов арифметических действий, знаки действий.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Все виды устных вычислений с разрядными единицами в пределах 1 000 000; с целыми числами, полученными при счете и при измерении, в пределах 100, легкие случаи в пределах 1 000 000.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Алгоритмы письменного сложения, вычитания, умножения и деления многозначных чисел.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Нахождение неизвестного компонента сложения и вычитания.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Способы проверки правильности вычислений (алгоритм, обратное действие, оценка достоверности результата).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100 000.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Умножение и деление целых чисел, полученных при счете и при измерении, на однозначное, двузначное число.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Порядок действий. Нахождение значения числового выражения, состоящего из 3-4 арифметических действий.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Использование микрокалькулятора для всех видов вычислений в пре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делах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Дроби.</w:t>
      </w: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Доля величины (половина, треть, четверть, десятая, сотая, тысячная). Получение долей. Сравнение долей.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Смешанное число. Получение, чтение, запись, сравнение смешанных чисел.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Сравнение дробей с разными числителями и знаменателями.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Сложение и вычитание обыкновенных дробей с одинаковыми знаменателями.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одной или нескольких частей числа.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Десятичная дробь. Чтение, запись десятичных дробей.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Выражение десятичных дробей в более крупных (мелких), одинаковых долях.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Сравнение десятичных дробей.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Сложение и вычитание десятичных дробей (все случаи).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десятичной дроби от числа.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Понятие процента. Нахождение одного процента от числа. Нахождение нескольких процентов от числа.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Арифметические задачи.</w:t>
      </w: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Простые и составные (в 3-4 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арифметических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действия) задачи. Задачи на нахождение неизвестного слагаемого, </w:t>
      </w: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Планирование хода решения задачи. 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Арифметические задачи, связанные с программой профильного труда.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Геометрический материал.</w:t>
      </w: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Использование чертежных документов для выполнения построений.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Углы, виды углов, смежные углы. Градус как мера угла. Сумма смежных углов. Сумма углов треугольника.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Периметр. Вычисление периметра треугольника, прямоугольника, квадрата.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Площадь геометрической фигуры. Обозначение: S. Вычисление площади прямоугольника (квадрата).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612C20" w:rsidRPr="00612C20" w:rsidRDefault="00612C20" w:rsidP="00612C20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12C2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Геометрические формы в окружающем мире.</w:t>
      </w:r>
    </w:p>
    <w:p w:rsidR="00F67701" w:rsidRPr="00F67701" w:rsidRDefault="00F67701" w:rsidP="00F67701">
      <w:pPr>
        <w:autoSpaceDE w:val="0"/>
        <w:spacing w:before="120" w:after="0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F67701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Pr="00F67701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обучающимися</w:t>
      </w:r>
      <w:proofErr w:type="gramEnd"/>
      <w:r w:rsidRPr="00F67701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 с легкой</w:t>
      </w:r>
    </w:p>
    <w:p w:rsidR="00F67701" w:rsidRPr="00F67701" w:rsidRDefault="00F67701" w:rsidP="00F67701">
      <w:pPr>
        <w:autoSpaceDE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F67701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умственной отсталостью (интеллектуальными нарушениями)</w:t>
      </w:r>
    </w:p>
    <w:p w:rsidR="00F67701" w:rsidRPr="00F67701" w:rsidRDefault="00F67701" w:rsidP="00F67701">
      <w:pPr>
        <w:autoSpaceDE w:val="0"/>
        <w:spacing w:after="0"/>
        <w:jc w:val="center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адаптированной основной общеобразовательной программы</w:t>
      </w:r>
      <w:r w:rsidRPr="00F67701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</w:t>
      </w:r>
    </w:p>
    <w:p w:rsidR="00F67701" w:rsidRPr="00F67701" w:rsidRDefault="00F67701" w:rsidP="00F67701">
      <w:pPr>
        <w:suppressAutoHyphens/>
        <w:spacing w:before="120"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Освоение обучающимися АООП</w:t>
      </w:r>
      <w:r w:rsidRPr="00F67701">
        <w:rPr>
          <w:rFonts w:ascii="Calibri" w:eastAsia="Arial Unicode MS" w:hAnsi="Calibri" w:cs="Calibri"/>
          <w:color w:val="00000A"/>
          <w:kern w:val="1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МБОУ СОШ </w:t>
      </w:r>
      <w:proofErr w:type="spell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proofErr w:type="gram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.К</w:t>
      </w:r>
      <w:proofErr w:type="gramEnd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иселёвка</w:t>
      </w:r>
      <w:proofErr w:type="spellEnd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которая создана на основе ФГОС, Примерной АООП, предполагает достижение ими двух видов результатов: </w:t>
      </w:r>
      <w:r w:rsidRPr="00F6770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личностных и предметных. 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 w:rsidRPr="00F6770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Личностные результаты</w:t>
      </w:r>
      <w:r w:rsidRPr="00F6770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личностным результатам освоения АООП относятся: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1) осознание себя как гражданина России; формирование чувства гордости за свою Родину;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 </w:t>
      </w:r>
      <w:proofErr w:type="spell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F6770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5) овладение социально-бытовыми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навыками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используемыми в повседневной жизни;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8) принятие и освоение социальной роли </w:t>
      </w:r>
      <w:proofErr w:type="gramStart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обучающегося</w:t>
      </w:r>
      <w:proofErr w:type="gramEnd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проявление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9) </w:t>
      </w:r>
      <w:proofErr w:type="spell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F6770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11) развитие этических чувств,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проявление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доброжелательности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эмоционально-нра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вственной отзывчивости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взаимопомощи, проявление</w:t>
      </w:r>
      <w:r w:rsidRPr="00F6770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сопереживания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чувствам других людей;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12) </w:t>
      </w:r>
      <w:proofErr w:type="spell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F6770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67701" w:rsidRPr="00F67701" w:rsidRDefault="00F67701" w:rsidP="00F6770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 проявление</w:t>
      </w:r>
      <w:r w:rsidRPr="00F6770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готовности к самостоятельной жизни.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Предметные результаты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освоения АООП образования вклю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ют освоенные </w:t>
      </w:r>
      <w:proofErr w:type="gram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ты обучающихся с легкой умственной отсталостью (интеллектуальными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нарушениями) не являются основным критерием при принятии решения о переводе обучающегося в следующий класс, но рас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АООП определяет </w:t>
      </w:r>
      <w:r w:rsidRPr="00F6770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два уровня овладения предметными результатами: </w:t>
      </w:r>
      <w:r w:rsidRPr="00F67701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минимальный</w:t>
      </w:r>
      <w:r w:rsidRPr="00F6770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и </w:t>
      </w:r>
      <w:r w:rsidRPr="00F67701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достаточный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Минимальный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уровень является обязательным для большинства </w:t>
      </w:r>
      <w:proofErr w:type="gramStart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 ум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ственной отсталостью </w:t>
      </w:r>
      <w:r w:rsidRPr="00F67701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>(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интеллектуальными нарушениями</w:t>
      </w:r>
      <w:r w:rsidRPr="00F67701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>)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Вместе с тем, отсутствие достижения это</w:t>
      </w: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том случае, если обу</w:t>
      </w: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МБОУ СОШ </w:t>
      </w:r>
      <w:proofErr w:type="spell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proofErr w:type="gramStart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.К</w:t>
      </w:r>
      <w:proofErr w:type="gramEnd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иселёвка</w:t>
      </w:r>
      <w:proofErr w:type="spellEnd"/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может перевести обучающегося на обучение по индивидуальному плану или на АООП. </w:t>
      </w:r>
    </w:p>
    <w:p w:rsidR="00F67701" w:rsidRPr="00F67701" w:rsidRDefault="00F67701" w:rsidP="00F67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Минимальный и достаточный уровни усвоения предметных результатов по учебному предмету </w:t>
      </w:r>
      <w:r w:rsidRPr="00F6770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 xml:space="preserve"> 5-9классы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Минимальный уровень: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числового ряда чисел в пределах 100 000; чтение, запись и сравнение целых чисел в пределах 100 000;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знание таблицы сложения однозначных чисел; 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табличных случаев умножения и получаемых из них случаев деления;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обыкновенных и десятичных дробей; их получение, запись, чтение;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доли величины и величины по значению её доли (половина, треть, четверть, пятая, десятая часть);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решение простых арифметических задач и составных задач в 2 действия;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Достаточный уровень: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числового ряда чисел в пределах 1 000 000; чтение, запись и сравнение чисел в пределах 1 000 000;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таблицы сложения однозначных чисел, в том числе с переходом через десяток;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табличных случаев умножения и получаемых из них случаев деления;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обыкновенных и десятичных дробей, их получение, запись, чтение;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с десятичными дробями;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одной или нескольких долей (процентов) от числа, числа по одной его доли (проценту);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решение простых задач в соответствии с программой, составных задач в 2-3 арифметических действия;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вычисление площади прямоугольника, объема прямоугольного параллелепипеда (куба);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F67701" w:rsidRP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применение математических знаний для решения профессиональных трудовых задач;</w:t>
      </w:r>
    </w:p>
    <w:p w:rsidR="00F67701" w:rsidRDefault="00F67701" w:rsidP="00F6770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677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представления о персональном компьютере как техническом средстве, его основных устройствах и их назначении; </w:t>
      </w:r>
    </w:p>
    <w:p w:rsidR="004E345F" w:rsidRDefault="004E345F" w:rsidP="004E345F">
      <w:pPr>
        <w:pStyle w:val="a3"/>
        <w:jc w:val="center"/>
        <w:rPr>
          <w:b/>
        </w:rPr>
      </w:pPr>
      <w:r w:rsidRPr="00874832">
        <w:rPr>
          <w:b/>
        </w:rPr>
        <w:t>Описание места учебного предмета в учебном плане</w:t>
      </w:r>
    </w:p>
    <w:p w:rsidR="004E345F" w:rsidRPr="004E345F" w:rsidRDefault="004E345F" w:rsidP="004E345F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 w:rsidRPr="004E345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 xml:space="preserve">Предмет «Математика» изучается в качестве обязательного предмета. Программа по математике рассчитана </w:t>
      </w:r>
      <w:proofErr w:type="gramStart"/>
      <w:r w:rsidRPr="004E345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на</w:t>
      </w:r>
      <w:proofErr w:type="gramEnd"/>
      <w:r w:rsidRPr="004E345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:</w:t>
      </w:r>
    </w:p>
    <w:p w:rsidR="004E345F" w:rsidRPr="004E345F" w:rsidRDefault="004E345F" w:rsidP="004E345F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</w:p>
    <w:p w:rsidR="004E345F" w:rsidRPr="00F67701" w:rsidRDefault="004E345F" w:rsidP="004E345F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 w:rsidRPr="004E345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lastRenderedPageBreak/>
        <w:t xml:space="preserve">Основными формами контроля знаний, умений, навыков во </w:t>
      </w:r>
      <w:r w:rsidR="00FA4483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5-9</w:t>
      </w:r>
      <w:r w:rsidRPr="004E345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 xml:space="preserve"> классах – текущий, промежуточный и итоговый контроль.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567"/>
        <w:gridCol w:w="142"/>
        <w:gridCol w:w="850"/>
        <w:gridCol w:w="10"/>
      </w:tblGrid>
      <w:tr w:rsidR="004E345F" w:rsidRPr="004E345F" w:rsidTr="00746ACF">
        <w:tc>
          <w:tcPr>
            <w:tcW w:w="9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Годовой учебный план общего образования </w:t>
            </w: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4E345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(интеллектуальными нарушениями): </w:t>
            </w:r>
          </w:p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V</w:t>
            </w:r>
            <w:r w:rsidRPr="004E345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4E345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IX</w:t>
            </w: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4E345F" w:rsidRPr="004E345F" w:rsidTr="00746AC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4E345F" w:rsidRPr="004E345F" w:rsidTr="00746ACF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4E345F" w:rsidRPr="004E345F" w:rsidTr="00746ACF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4E345F" w:rsidRPr="004E345F" w:rsidTr="00746AC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 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5F" w:rsidRPr="004E345F" w:rsidRDefault="004E345F" w:rsidP="004E345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345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578</w:t>
            </w:r>
          </w:p>
        </w:tc>
      </w:tr>
    </w:tbl>
    <w:p w:rsidR="007B6999" w:rsidRDefault="007B0BA8" w:rsidP="007B0BA8">
      <w:pPr>
        <w:tabs>
          <w:tab w:val="left" w:pos="3720"/>
        </w:tabs>
      </w:pPr>
      <w:r>
        <w:tab/>
      </w: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7B0BA8" w:rsidRPr="007B0BA8" w:rsidTr="00746ACF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Недельный учебный план образования</w:t>
            </w: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(интеллектуальными нарушениями</w:t>
            </w: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):</w:t>
            </w:r>
          </w:p>
          <w:p w:rsidR="007B0BA8" w:rsidRPr="007B0BA8" w:rsidRDefault="007B0BA8" w:rsidP="007B0BA8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V</w:t>
            </w: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IX</w:t>
            </w: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7B0BA8" w:rsidRPr="007B0BA8" w:rsidTr="00746AC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7B0BA8" w:rsidRPr="007B0BA8" w:rsidTr="00746AC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7B0BA8" w:rsidRPr="007B0BA8" w:rsidTr="00746ACF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7B0BA8" w:rsidRPr="007B0BA8" w:rsidTr="00746ACF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A8" w:rsidRPr="007B0BA8" w:rsidRDefault="007B0BA8" w:rsidP="007B0BA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</w:tbl>
    <w:p w:rsidR="007B0BA8" w:rsidRDefault="007B0BA8" w:rsidP="007B0BA8">
      <w:pPr>
        <w:tabs>
          <w:tab w:val="left" w:pos="3720"/>
        </w:tabs>
      </w:pPr>
    </w:p>
    <w:p w:rsidR="00746ACF" w:rsidRPr="00746ACF" w:rsidRDefault="00746ACF" w:rsidP="00746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по учебному плану                                  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                                           </w:t>
      </w:r>
      <w:bookmarkStart w:id="0" w:name="_GoBack"/>
      <w:bookmarkEnd w:id="0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971"/>
        <w:gridCol w:w="846"/>
        <w:gridCol w:w="3857"/>
      </w:tblGrid>
      <w:tr w:rsidR="00746ACF" w:rsidRPr="00746ACF" w:rsidTr="00746ACF">
        <w:trPr>
          <w:trHeight w:val="549"/>
        </w:trPr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5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5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46ACF" w:rsidRPr="00746ACF" w:rsidTr="00746ACF">
        <w:trPr>
          <w:trHeight w:val="217"/>
        </w:trPr>
        <w:tc>
          <w:tcPr>
            <w:tcW w:w="37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118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Сотня.</w:t>
            </w:r>
          </w:p>
        </w:tc>
        <w:tc>
          <w:tcPr>
            <w:tcW w:w="451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AE407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контрольная работа.</w:t>
            </w:r>
          </w:p>
        </w:tc>
      </w:tr>
      <w:tr w:rsidR="00746ACF" w:rsidRPr="00746ACF" w:rsidTr="00746ACF">
        <w:trPr>
          <w:trHeight w:val="379"/>
        </w:trPr>
        <w:tc>
          <w:tcPr>
            <w:tcW w:w="3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 по теме «Сотня».</w:t>
            </w:r>
          </w:p>
        </w:tc>
      </w:tr>
      <w:tr w:rsidR="00746ACF" w:rsidRPr="00746ACF" w:rsidTr="00746ACF">
        <w:trPr>
          <w:trHeight w:val="267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rPr>
          <w:trHeight w:val="549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величины.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Экскурсия: Прохождение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46A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в парах.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rPr>
          <w:trHeight w:val="178"/>
        </w:trPr>
        <w:tc>
          <w:tcPr>
            <w:tcW w:w="37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118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сложение и вычитание чисел в пределах 1000. без перехода через разряд. Проверка действий.</w:t>
            </w:r>
          </w:p>
        </w:tc>
        <w:tc>
          <w:tcPr>
            <w:tcW w:w="451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  за 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четверть.</w:t>
            </w:r>
          </w:p>
        </w:tc>
      </w:tr>
      <w:tr w:rsidR="00746ACF" w:rsidRPr="00746ACF" w:rsidTr="00746ACF">
        <w:trPr>
          <w:trHeight w:val="494"/>
        </w:trPr>
        <w:tc>
          <w:tcPr>
            <w:tcW w:w="3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трехзначных чисел без перехода через разряд в пределах 1000».</w:t>
            </w:r>
          </w:p>
        </w:tc>
      </w:tr>
      <w:tr w:rsidR="00746ACF" w:rsidRPr="00746ACF" w:rsidTr="00746ACF">
        <w:trPr>
          <w:trHeight w:val="830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1000 с переходом через разряд.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AE407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в пределах 1000»</w:t>
            </w:r>
          </w:p>
        </w:tc>
      </w:tr>
      <w:tr w:rsidR="00746ACF" w:rsidRPr="00746ACF" w:rsidTr="00746ACF">
        <w:trPr>
          <w:trHeight w:val="549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  теме «Обыкновенные дроби»</w:t>
            </w:r>
          </w:p>
        </w:tc>
      </w:tr>
      <w:tr w:rsidR="00746ACF" w:rsidRPr="00746ACF" w:rsidTr="00746ACF">
        <w:trPr>
          <w:trHeight w:val="282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 на 10,100.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rPr>
          <w:trHeight w:val="1083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 стоимости, длины, массы.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«Преобразование чисел, полученных при измерении мерами массы, длины и стоимости»</w:t>
            </w:r>
          </w:p>
        </w:tc>
      </w:tr>
      <w:tr w:rsidR="00746ACF" w:rsidRPr="00746ACF" w:rsidTr="00746ACF">
        <w:trPr>
          <w:trHeight w:val="563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и деление круглых десятков, сотен на однозначное число.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rPr>
          <w:trHeight w:val="816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и деление двузначных и трехзначных чисел без перехода через разряд.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 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четверть</w:t>
            </w: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6ACF" w:rsidRPr="00746ACF" w:rsidTr="00746ACF">
        <w:trPr>
          <w:trHeight w:val="282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и деления.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rPr>
          <w:trHeight w:val="1097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трехзначных чисел с переходом через разряд.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AE407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  по «Умножение и деление двузначных и трехзначных чисел на однозначное число с переходом через разряд».</w:t>
            </w:r>
          </w:p>
        </w:tc>
      </w:tr>
      <w:tr w:rsidR="00746ACF" w:rsidRPr="00746ACF" w:rsidTr="00746ACF">
        <w:trPr>
          <w:trHeight w:val="267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XIII.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Резерв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</w:tr>
      <w:tr w:rsidR="00746ACF" w:rsidRPr="00746ACF" w:rsidTr="00746ACF">
        <w:trPr>
          <w:trHeight w:val="282"/>
        </w:trPr>
        <w:tc>
          <w:tcPr>
            <w:tcW w:w="3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82269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2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971"/>
        <w:gridCol w:w="773"/>
        <w:gridCol w:w="3969"/>
      </w:tblGrid>
      <w:tr w:rsidR="00746ACF" w:rsidRPr="00746ACF" w:rsidTr="00746ACF">
        <w:trPr>
          <w:trHeight w:val="822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 темы</w:t>
            </w:r>
          </w:p>
        </w:tc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работы.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  многоугольника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822698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треугольников по видам углов и длинам сторон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 Линии в круге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 по 3-м сторонам. Круг, Линии в круге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Изображение фигур в масштабе 1:2, 1:5, 1:10, 1:100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822698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3. Изображение геометрических фигур в заданном масштабе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Резерв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AE4071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</w:tr>
      <w:tr w:rsidR="00746ACF" w:rsidRPr="00746ACF" w:rsidTr="00746ACF">
        <w:tc>
          <w:tcPr>
            <w:tcW w:w="3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822698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</w:t>
      </w: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по учебному плану                                  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                                                                       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8"/>
        <w:gridCol w:w="1695"/>
        <w:gridCol w:w="701"/>
        <w:gridCol w:w="1589"/>
        <w:gridCol w:w="1796"/>
        <w:gridCol w:w="1650"/>
        <w:gridCol w:w="1652"/>
      </w:tblGrid>
      <w:tr w:rsidR="00746ACF" w:rsidRPr="00746ACF" w:rsidTr="00746ACF">
        <w:trPr>
          <w:trHeight w:val="14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технологии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Проблемы,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возникающие при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изучении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мониторинг</w:t>
            </w:r>
          </w:p>
        </w:tc>
      </w:tr>
      <w:tr w:rsidR="00746ACF" w:rsidRPr="00746ACF" w:rsidTr="00746ACF">
        <w:trPr>
          <w:trHeight w:val="14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F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память и внимание.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обучаемых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технологии.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индивидуализации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запоминание нумерационной таблицы классов и разрядов.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четкое 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позиционного знания цифр.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знание правила округления чисел до заданного разряда.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проверочная работа.</w:t>
            </w:r>
          </w:p>
        </w:tc>
      </w:tr>
      <w:tr w:rsidR="00746ACF" w:rsidRPr="00746ACF" w:rsidTr="00746ACF">
        <w:trPr>
          <w:trHeight w:val="14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единицы измерения величин.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восприятие и узнавание.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увеличивать объем словарного запаса.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сравнения, графические навыки.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аналитическое восприятие, глазомер.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соотнести данные величины с жизненными ситуациями.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запоминание метрической системы мер.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746ACF">
        <w:trPr>
          <w:trHeight w:val="14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F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словесно-логическое мышление.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 работать по словесной и письменной инструкции.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 сознательно и последовательно работать над выполнением задания.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знание алгоритма выполнения вычислений с дробями.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Кратковременное запоминание компонентов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и правила нахождения неизвестного компонента. 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знание таблицы умножения и деления.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тематические,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работы.</w:t>
            </w:r>
          </w:p>
        </w:tc>
      </w:tr>
      <w:tr w:rsidR="00746ACF" w:rsidRPr="00746ACF" w:rsidTr="00746ACF">
        <w:trPr>
          <w:trHeight w:val="195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Доли, дроби.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память и внимание.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аналитическое восприятие, глазомер.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технологии.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индивидуализации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обучения.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запоминание способов получения дробей и значение каждого компонента дроби.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работа.</w:t>
            </w:r>
          </w:p>
        </w:tc>
      </w:tr>
      <w:tr w:rsidR="00746ACF" w:rsidRPr="00746ACF" w:rsidTr="00746ACF">
        <w:trPr>
          <w:trHeight w:val="217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словесно – логическое мышление.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 активизировать словарный запас.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запоминание алгоритма решения задач разного вида.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представление явлений, событий, предметов и фактов, о которых говорится в задаче.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746ACF">
        <w:trPr>
          <w:trHeight w:val="248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анализирующее восприятие, умение читать чертеж.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словесно – логическое мышление.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знание зависимости между скоростью, временем и расстоянием.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запоминание алгоритма решения задач данного  вида.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746ACF">
        <w:trPr>
          <w:trHeight w:val="227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F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мелкую моторику кисти и пальцев рук. 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навыки.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планировать свою деятельность.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мелкой моторики руки.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планировать свою деятельность.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Тематическая, итоговая контрольная работа.</w:t>
            </w:r>
          </w:p>
        </w:tc>
      </w:tr>
      <w:tr w:rsidR="00FA4483" w:rsidRPr="00746ACF" w:rsidTr="00FA4483">
        <w:trPr>
          <w:trHeight w:val="55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Default="00FA4483" w:rsidP="00F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по учебному плану                                  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                                                                     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1738"/>
        <w:gridCol w:w="715"/>
        <w:gridCol w:w="1629"/>
        <w:gridCol w:w="1637"/>
        <w:gridCol w:w="1692"/>
        <w:gridCol w:w="1663"/>
      </w:tblGrid>
      <w:tr w:rsidR="00746ACF" w:rsidRPr="00746ACF" w:rsidTr="00AE4071">
        <w:trPr>
          <w:trHeight w:val="975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задачи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технологии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Проблемы,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возникающие при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изучении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мониторинг</w:t>
            </w:r>
          </w:p>
        </w:tc>
      </w:tr>
      <w:tr w:rsidR="00746ACF" w:rsidRPr="00746ACF" w:rsidTr="00AE4071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F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память и внимание.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увеличивать объем словарного запаса.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технологии.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индивидуализации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знание признаков четных и нечетных чисел.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под диктовку чисел в пределах 1000000. 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работа.</w:t>
            </w:r>
          </w:p>
        </w:tc>
      </w:tr>
      <w:tr w:rsidR="00746ACF" w:rsidRPr="00746ACF" w:rsidTr="00AE4071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единицы измерения величин.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восприятие и узнавание; аналитическое восприятие, глазомер.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</w:t>
            </w:r>
            <w:proofErr w:type="spellStart"/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</w:t>
            </w:r>
            <w:proofErr w:type="spell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графические 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запоминание метрической системы мер.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величин.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виде десятичных дробей чисел, 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при измерении.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rPr>
          <w:trHeight w:val="84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словесно-логическое мышление; анализирующее восприятие; умение  работать по словесной и письменной инструкции.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 </w:t>
            </w:r>
            <w:proofErr w:type="spellStart"/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</w:t>
            </w:r>
            <w:proofErr w:type="spell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 работать над выполнением задания.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 на круглые десятки.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 компонентов арифметических действий.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Тематические,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работы.</w:t>
            </w:r>
          </w:p>
        </w:tc>
      </w:tr>
      <w:tr w:rsidR="00746ACF" w:rsidRPr="00746ACF" w:rsidTr="00AE4071">
        <w:trPr>
          <w:trHeight w:val="197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Доли, дроби.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F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память и внимание, словесно – логическое мышление,  глазомер.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</w:t>
            </w:r>
            <w:proofErr w:type="spell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разноуровнего</w:t>
            </w:r>
            <w:proofErr w:type="spellEnd"/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технологии.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Технология  индивидуализации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обучения.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замены смешанных чисел неправильными дробями и наоборот.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дополнительного множителя и общего знаменателя дроби.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десятичных дробей в нумерационную таблицу.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задачи.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46ACF"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словесно – 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мышление, причинные связи. Обогащать и активизировать словарный запас, развивать речь.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Кратковременное </w:t>
            </w: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запоминание алгоритма решения задач разного вида.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представление явлений, событий, предметов и фактов, о которых говорится в задаче.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rPr>
          <w:trHeight w:val="396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кисти и пальцев рук, графические навыки.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восприятие и узнавание, глазомер.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практическую деятельность </w:t>
            </w:r>
            <w:proofErr w:type="gramStart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планировать свою деятельность</w:t>
            </w: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четких представлений о геометрической фигуре.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Кратковременное запоминание приемов построения симметричных фигур и правила нахождения периметра.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FA4483" w:rsidRPr="00746ACF" w:rsidTr="00094403">
        <w:trPr>
          <w:trHeight w:val="71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483" w:rsidRPr="00746ACF" w:rsidRDefault="00FA448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по учебному плану                                  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                                                                     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71"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1000"/>
        <w:gridCol w:w="1413"/>
        <w:gridCol w:w="1595"/>
      </w:tblGrid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537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537" w:type="pct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537" w:type="pct"/>
            <w:vMerge w:val="restart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3" w:type="pct"/>
            <w:vMerge w:val="restar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13.05</w:t>
            </w: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537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многозначных чисел  </w:t>
            </w:r>
          </w:p>
        </w:tc>
        <w:tc>
          <w:tcPr>
            <w:tcW w:w="537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537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537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Обыкновенные дроби</w:t>
            </w:r>
          </w:p>
        </w:tc>
        <w:tc>
          <w:tcPr>
            <w:tcW w:w="537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537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CF" w:rsidRPr="00746ACF" w:rsidTr="00AE4071">
        <w:tc>
          <w:tcPr>
            <w:tcW w:w="2922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курса математики за 8 класс</w:t>
            </w:r>
          </w:p>
        </w:tc>
        <w:tc>
          <w:tcPr>
            <w:tcW w:w="537" w:type="pct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798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403" w:rsidRPr="00746ACF" w:rsidTr="00AE4071">
        <w:tc>
          <w:tcPr>
            <w:tcW w:w="2922" w:type="pct"/>
          </w:tcPr>
          <w:p w:rsidR="0009440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094403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3" w:type="pct"/>
          </w:tcPr>
          <w:p w:rsidR="0009440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09440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746ACF" w:rsidRPr="00746ACF" w:rsidRDefault="00746ACF" w:rsidP="00746AC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по учебному плану                                  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46ACF" w:rsidRPr="00746ACF" w:rsidRDefault="00746ACF" w:rsidP="00746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                                                                     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71"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7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007"/>
        <w:gridCol w:w="1413"/>
        <w:gridCol w:w="1595"/>
      </w:tblGrid>
      <w:tr w:rsidR="00746ACF" w:rsidRPr="00746ACF" w:rsidTr="00AE4071"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538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13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46ACF" w:rsidRPr="00746ACF" w:rsidTr="00AE4071"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1000000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28.09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ACF" w:rsidRPr="00746ACF" w:rsidTr="00AE4071"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pct"/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21.10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ACF" w:rsidRPr="00746ACF" w:rsidTr="00AE4071"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09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pct"/>
            <w:shd w:val="clear" w:color="auto" w:fill="auto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6ACF" w:rsidRPr="00746ACF" w:rsidTr="00AE4071">
        <w:trPr>
          <w:trHeight w:val="445"/>
        </w:trPr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09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ACF" w:rsidRPr="00746ACF" w:rsidTr="00AE4071">
        <w:trPr>
          <w:trHeight w:val="445"/>
        </w:trPr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3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rPr>
          <w:trHeight w:val="445"/>
        </w:trPr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38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ACF" w:rsidRPr="00746ACF" w:rsidTr="00AE4071">
        <w:trPr>
          <w:trHeight w:val="445"/>
        </w:trPr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pct"/>
            <w:vMerge w:val="restar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CF" w:rsidRPr="00746ACF" w:rsidTr="00AE4071">
        <w:trPr>
          <w:trHeight w:val="445"/>
        </w:trPr>
        <w:tc>
          <w:tcPr>
            <w:tcW w:w="2914" w:type="pct"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38" w:type="pct"/>
            <w:vAlign w:val="center"/>
          </w:tcPr>
          <w:p w:rsidR="00746ACF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746ACF" w:rsidRPr="00746ACF" w:rsidRDefault="00746ACF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03" w:rsidRPr="00746ACF" w:rsidTr="00AE4071">
        <w:trPr>
          <w:trHeight w:val="445"/>
        </w:trPr>
        <w:tc>
          <w:tcPr>
            <w:tcW w:w="2914" w:type="pct"/>
            <w:vAlign w:val="center"/>
          </w:tcPr>
          <w:p w:rsidR="0009440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094403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3" w:type="pct"/>
            <w:vAlign w:val="center"/>
          </w:tcPr>
          <w:p w:rsidR="0009440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094403" w:rsidRPr="00746ACF" w:rsidRDefault="00094403" w:rsidP="0074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ACF" w:rsidRPr="00746ACF" w:rsidRDefault="00746ACF" w:rsidP="00746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77B" w:rsidRPr="00746ACF" w:rsidRDefault="00A0377B" w:rsidP="00A03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курса «Математика» используются следующие учебники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77B" w:rsidRPr="00746ACF" w:rsidRDefault="00A0377B" w:rsidP="00A0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Г.М. Капустина, М.Н. Перова Математика. Учебник для 5 класса специальных (коррекционных) образовательных учреждений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М.-Просвещение,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0377B" w:rsidRPr="00746ACF" w:rsidRDefault="00A0377B" w:rsidP="00A0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Г.М. Капустина, М.Н. Перова  Математика. Учебник для 6 класса специальных (коррекционных) образовательных учреждений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М.-Просвещение,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0377B" w:rsidRPr="00746ACF" w:rsidRDefault="00A0377B" w:rsidP="00A0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Т.В. </w:t>
      </w:r>
      <w:proofErr w:type="spellStart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Учебник для 7 класса специальных (коррекционных) образовательных учреждений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М.-Просвещение, 2020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0377B" w:rsidRPr="00746ACF" w:rsidRDefault="00A0377B" w:rsidP="00A0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В.В. </w:t>
      </w:r>
      <w:proofErr w:type="gramStart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Учебник для 8 класса специальных (коррекционных) образовательных учреждений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вида.</w:t>
      </w:r>
      <w:proofErr w:type="gramStart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>.-Просвещение,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0377B" w:rsidRPr="00746ACF" w:rsidRDefault="00A0377B" w:rsidP="00A0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М.Н. Перова  Математика. Учебник для 9 класса специальных (коррекционных) образовательных учреждений </w:t>
      </w:r>
      <w:r w:rsidRPr="00746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М.-Просвещение,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46ACF" w:rsidRDefault="00746ACF" w:rsidP="007B0BA8">
      <w:pPr>
        <w:tabs>
          <w:tab w:val="left" w:pos="3720"/>
        </w:tabs>
      </w:pPr>
    </w:p>
    <w:sectPr w:rsidR="0074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01"/>
    <w:rsid w:val="00094403"/>
    <w:rsid w:val="004E345F"/>
    <w:rsid w:val="00612C20"/>
    <w:rsid w:val="00746ACF"/>
    <w:rsid w:val="007B0BA8"/>
    <w:rsid w:val="007B6999"/>
    <w:rsid w:val="00822698"/>
    <w:rsid w:val="009C3A93"/>
    <w:rsid w:val="00A0377B"/>
    <w:rsid w:val="00A31280"/>
    <w:rsid w:val="00AE4071"/>
    <w:rsid w:val="00E54A83"/>
    <w:rsid w:val="00F432BF"/>
    <w:rsid w:val="00F67701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symarin1962@mail.ru</dc:creator>
  <cp:lastModifiedBy>Asus</cp:lastModifiedBy>
  <cp:revision>8</cp:revision>
  <dcterms:created xsi:type="dcterms:W3CDTF">2020-09-01T10:45:00Z</dcterms:created>
  <dcterms:modified xsi:type="dcterms:W3CDTF">2020-09-10T11:23:00Z</dcterms:modified>
</cp:coreProperties>
</file>